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972E9" w:rsidRDefault="00F972E9" w:rsidP="00F972E9">
      <w:pPr>
        <w:pStyle w:val="Kop1"/>
        <w:spacing w:line="240" w:lineRule="auto"/>
        <w:rPr>
          <w:rFonts w:ascii="Calibri" w:hAnsi="Calibri" w:cs="Arial"/>
          <w:lang w:val="en-GB"/>
        </w:rPr>
      </w:pPr>
      <w:bookmarkStart w:id="0" w:name="_GoBack"/>
      <w:r w:rsidRPr="00546EFD">
        <w:rPr>
          <w:rFonts w:ascii="Calibri" w:hAnsi="Calibri" w:cs="Arial"/>
          <w:lang w:val="en-GB"/>
        </w:rPr>
        <w:t xml:space="preserve">List of </w:t>
      </w:r>
      <w:r>
        <w:rPr>
          <w:rFonts w:ascii="Calibri" w:hAnsi="Calibri" w:cs="Arial"/>
          <w:lang w:val="en-GB"/>
        </w:rPr>
        <w:t xml:space="preserve">SONABRE-related </w:t>
      </w:r>
      <w:r w:rsidRPr="00546EFD">
        <w:rPr>
          <w:rFonts w:ascii="Calibri" w:hAnsi="Calibri" w:cs="Arial"/>
          <w:lang w:val="en-GB"/>
        </w:rPr>
        <w:t>publications</w:t>
      </w:r>
    </w:p>
    <w:p w:rsidR="00F972E9" w:rsidRDefault="00F972E9" w:rsidP="00F972E9">
      <w:pPr>
        <w:pStyle w:val="Lijstalinea"/>
        <w:spacing w:line="240" w:lineRule="auto"/>
        <w:ind w:left="360"/>
        <w:rPr>
          <w:rFonts w:ascii="Calibri" w:hAnsi="Calibri" w:cs="Arial"/>
          <w:lang w:val="en-GB"/>
        </w:rPr>
      </w:pPr>
    </w:p>
    <w:p w:rsidR="001F133E" w:rsidRDefault="001F133E" w:rsidP="001F133E">
      <w:pPr>
        <w:pStyle w:val="Lijstalinea"/>
        <w:numPr>
          <w:ilvl w:val="0"/>
          <w:numId w:val="2"/>
        </w:numPr>
        <w:spacing w:line="240" w:lineRule="auto"/>
        <w:rPr>
          <w:rFonts w:ascii="Calibri" w:hAnsi="Calibri" w:cs="Arial"/>
          <w:lang w:val="en-GB"/>
        </w:rPr>
      </w:pPr>
      <w:r w:rsidRPr="001F133E">
        <w:rPr>
          <w:rFonts w:ascii="Calibri" w:hAnsi="Calibri" w:cs="Arial"/>
          <w:lang w:val="en-GB"/>
        </w:rPr>
        <w:t>Ding N, Visserman R, Geurts SME, Tol J, Vriens BEPJ, Aaldering KNA, Boon E, Dercksen MW, van den Berkmortel F, Pepels MJAE, Peters NAJB, Heijns JB, van de Winkel L, de Fallois AJO, Tjan-Heijnen VCG, de Boer M. Complete responders in patients with HER2-positive metastatic breast cancer: a real-world SONABRE study. Breast. 2025 Dec;84:104583. doi: 10.1016/j.breast.2025.104583. Epub 2025 Sep 23. PMID: 41014745; PMCID: PMC12510007.</w:t>
      </w:r>
    </w:p>
    <w:p w:rsidR="001F133E" w:rsidRDefault="001F133E" w:rsidP="001F133E">
      <w:pPr>
        <w:pStyle w:val="Lijstalinea"/>
        <w:numPr>
          <w:ilvl w:val="0"/>
          <w:numId w:val="2"/>
        </w:numPr>
        <w:spacing w:line="240" w:lineRule="auto"/>
        <w:rPr>
          <w:rFonts w:ascii="Calibri" w:hAnsi="Calibri" w:cs="Arial"/>
          <w:lang w:val="en-GB"/>
        </w:rPr>
      </w:pPr>
      <w:r w:rsidRPr="001F133E">
        <w:rPr>
          <w:rFonts w:ascii="Calibri" w:hAnsi="Calibri" w:cs="Arial"/>
          <w:lang w:val="en-GB"/>
        </w:rPr>
        <w:t>Hermans KEPE, Geurts SME, Van den Berkmortel F, Tol J, Heijns JB, Dercksen MW, Vriens BEPJ, Aaldering KNA, Pepels MJAE, Peters NAJB, van de Winkel L, Boon E, Teeuwen N, van Kats MACE, Tjan-Heijnen VCG. Receptor Discordance During the Treatment Course of Patients With Metastatic Breast Cancer: Results From the SONABRE Registry. Clin Breast Cancer. 2025 Oct;25(7):704-713.e3. doi: 10.1016/j.clbc.2025.07.020. Epub 2025 Jul 30. PMID: 40858479.</w:t>
      </w:r>
    </w:p>
    <w:p w:rsidR="00D37206" w:rsidRPr="00D37206" w:rsidRDefault="001F133E" w:rsidP="001F133E">
      <w:pPr>
        <w:pStyle w:val="Lijstalinea"/>
        <w:numPr>
          <w:ilvl w:val="0"/>
          <w:numId w:val="2"/>
        </w:numPr>
        <w:spacing w:line="240" w:lineRule="auto"/>
        <w:rPr>
          <w:rFonts w:ascii="Calibri" w:hAnsi="Calibri" w:cs="Arial"/>
          <w:lang w:val="en-GB"/>
        </w:rPr>
      </w:pPr>
      <w:r w:rsidRPr="001F133E">
        <w:rPr>
          <w:rFonts w:ascii="Calibri" w:hAnsi="Calibri" w:cs="Arial"/>
          <w:lang w:val="en-GB"/>
        </w:rPr>
        <w:t>Geurts SME, Ibragimova KIE, Ding N, Meegdes M, Erdkamp F, Heijns JB, Tol J, Vriens BEPJ, Dercksen MW, Aaldering KNA, Pepels MJAE, van de Winkel L, Peters NAJB, van de Wouw AJ, Maaskant SAJG, Teeuwen-Dedroog NJA, van Nijnatten TJA, de Boer M, Tjan-Heijnen VCG. Time trends in real-world treatment patterns and survival in patients diagnosed with de novo HER2+ metastatic breast cancer: an analysis of the SONABRE registry. Breast Cancer Res Treat. 2024 Jun;205(2):287-302. doi: 10.1007/s10549-023-07235-0. Epub 2024 Feb 21. PMID: 38381274; PMCID: PMC11101547.</w:t>
      </w:r>
    </w:p>
    <w:p w:rsidR="00D37206" w:rsidRPr="00D37206" w:rsidRDefault="00D37206" w:rsidP="00D37206">
      <w:pPr>
        <w:pStyle w:val="Lijstalinea"/>
        <w:numPr>
          <w:ilvl w:val="0"/>
          <w:numId w:val="2"/>
        </w:numPr>
        <w:spacing w:line="240" w:lineRule="auto"/>
        <w:ind w:left="357" w:hanging="357"/>
        <w:rPr>
          <w:rFonts w:ascii="Calibri" w:hAnsi="Calibri" w:cs="Arial"/>
          <w:lang w:val="en-GB"/>
        </w:rPr>
      </w:pPr>
      <w:r w:rsidRPr="00D37206">
        <w:rPr>
          <w:rFonts w:ascii="Calibri" w:hAnsi="Calibri" w:cs="Arial"/>
          <w:lang w:val="en-GB"/>
        </w:rPr>
        <w:t>Ibragimova KIE, Geurts SME, Laczkó D, Meegdes M, Erdkamp F, Heijns JB, Tol J, Vriens BEPJ, Aaldering KNA, Dercksen MW, Pepels MJAE, Peters NAJB, van de Winkel LMH, van de Wouw AJ, de Fallois A, van Kats MACE, Tjan-Heijnen VCG. Trastuzumab Resistance in Patients With HER2-Positive Advanced Breast Cancer: Results From the SONABRE Registry. Clin Breast Cancer. 2024 Feb;24(2):103-111. doi: 10.1016/j.clbc.2023.10.009. Epub 2023 Nov 2. PMID: 38007349.</w:t>
      </w:r>
    </w:p>
    <w:p w:rsidR="00D37206" w:rsidRPr="00D37206" w:rsidRDefault="00D37206" w:rsidP="00D37206">
      <w:pPr>
        <w:pStyle w:val="Lijstalinea"/>
        <w:numPr>
          <w:ilvl w:val="0"/>
          <w:numId w:val="2"/>
        </w:numPr>
        <w:spacing w:line="240" w:lineRule="auto"/>
        <w:ind w:left="357" w:hanging="357"/>
        <w:rPr>
          <w:rFonts w:ascii="Calibri" w:hAnsi="Calibri" w:cs="Arial"/>
          <w:lang w:val="en-GB"/>
        </w:rPr>
      </w:pPr>
      <w:r w:rsidRPr="00D37206">
        <w:rPr>
          <w:rFonts w:ascii="Calibri" w:hAnsi="Calibri" w:cs="Arial"/>
          <w:lang w:val="en-GB"/>
        </w:rPr>
        <w:t>Meegdes M, van der Velde MGAM, Geurts SME, van Kats MACE, Dercksen MW, Tjan-Heijnen VCG. Case series of metastatic breast cancer patients with visceral crisis treated with CDK4/6 inhibitors. J Chemother. 2023 Nov 9:1-8. doi: 10.1080/1120009X.2023.2279831. Epub ahead of print. PMID: 37946508.</w:t>
      </w:r>
    </w:p>
    <w:p w:rsidR="00D37206" w:rsidRPr="00D37206" w:rsidRDefault="00D37206" w:rsidP="00D37206">
      <w:pPr>
        <w:pStyle w:val="Lijstalinea"/>
        <w:numPr>
          <w:ilvl w:val="0"/>
          <w:numId w:val="2"/>
        </w:numPr>
        <w:spacing w:line="240" w:lineRule="auto"/>
        <w:ind w:left="357" w:hanging="357"/>
        <w:rPr>
          <w:rFonts w:ascii="Calibri" w:hAnsi="Calibri" w:cs="Arial"/>
          <w:lang w:val="en-GB"/>
        </w:rPr>
      </w:pPr>
      <w:r w:rsidRPr="00D37206">
        <w:rPr>
          <w:rFonts w:ascii="Calibri" w:hAnsi="Calibri" w:cs="Arial"/>
          <w:lang w:val="en-GB"/>
        </w:rPr>
        <w:t>Ibragimova KIE, Geurts SME, Meegdes M, Erdkamp F, Heijns JB, Tol J, Vriens BEPJ, Dercksen MW, Aaldering KNA, Pepels MJAE, van de Winkel L, Peters NAJB, Teeuwen-Dedroog NJA, Vriens IJH, Tjan-Heijnen VCG. Outcomes for the first four lines of therapy in patients with HER2-positive advanced breast cancer: results from the SONABRE registry. 2023 Apr;198(2):239-251. doi: 10.1007/s10549-022-06832-9. Epub 2023 Jan 12. PMID: 36635428; PMCID: PMC10020272.</w:t>
      </w:r>
    </w:p>
    <w:p w:rsidR="00523CF1" w:rsidRDefault="00523CF1" w:rsidP="00523CF1">
      <w:pPr>
        <w:pStyle w:val="Lijstalinea"/>
        <w:numPr>
          <w:ilvl w:val="0"/>
          <w:numId w:val="2"/>
        </w:numPr>
        <w:spacing w:line="240" w:lineRule="auto"/>
        <w:rPr>
          <w:rFonts w:ascii="Calibri" w:hAnsi="Calibri" w:cs="Arial"/>
          <w:lang w:val="en-GB"/>
        </w:rPr>
      </w:pPr>
      <w:r w:rsidRPr="00523CF1">
        <w:rPr>
          <w:rFonts w:ascii="Calibri" w:hAnsi="Calibri" w:cs="Arial"/>
          <w:lang w:val="en-GB"/>
        </w:rPr>
        <w:t>Meegdes M, Geurts SME, Erdkamp FLG, Dercksen MW, Vriens BEPJ, Aaldering KNA, Pepels MJAE, van de Winkel LMH, Peters NAJB, Tol J, Heijns JB, van de Wouw AJ, de Fallois AJO, van Kats MACE, Tjan-Heijnen VCG. Real-world time trends in overall survival, treatments and patient characteristics in HR+/HER2- metastatic breast cancer: an observational study of the SONABRE Registry. Lancet Reg Health Eur. 2023 Jan 6;26:100573. doi</w:t>
      </w:r>
      <w:r>
        <w:rPr>
          <w:rFonts w:ascii="Calibri" w:hAnsi="Calibri" w:cs="Arial"/>
          <w:lang w:val="en-GB"/>
        </w:rPr>
        <w:t>: 10.1016/j.lanepe.2022.100573.</w:t>
      </w:r>
    </w:p>
    <w:p w:rsidR="00F972E9" w:rsidRDefault="00F972E9" w:rsidP="00A2248A">
      <w:pPr>
        <w:pStyle w:val="Lijstalinea"/>
        <w:numPr>
          <w:ilvl w:val="0"/>
          <w:numId w:val="2"/>
        </w:numPr>
        <w:spacing w:line="240" w:lineRule="auto"/>
        <w:rPr>
          <w:rFonts w:ascii="Calibri" w:hAnsi="Calibri" w:cs="Arial"/>
          <w:lang w:val="en-GB"/>
        </w:rPr>
      </w:pPr>
      <w:r w:rsidRPr="006936D0">
        <w:rPr>
          <w:rFonts w:ascii="Calibri" w:hAnsi="Calibri" w:cs="Arial"/>
          <w:lang w:val="en-GB"/>
        </w:rPr>
        <w:t>Meegdes M, Ibragimova KIE, Lobbezoo DJA, Vriens IJH, Kooreman LFS, Erdkamp FLG</w:t>
      </w:r>
      <w:r>
        <w:rPr>
          <w:rFonts w:ascii="Calibri" w:hAnsi="Calibri" w:cs="Arial"/>
          <w:lang w:val="en-GB"/>
        </w:rPr>
        <w:t xml:space="preserve">, </w:t>
      </w:r>
      <w:r w:rsidRPr="006936D0">
        <w:rPr>
          <w:rFonts w:ascii="Calibri" w:hAnsi="Calibri" w:cs="Arial"/>
          <w:lang w:val="en-GB"/>
        </w:rPr>
        <w:t xml:space="preserve">Dercksen </w:t>
      </w:r>
      <w:r>
        <w:rPr>
          <w:rFonts w:ascii="Calibri" w:hAnsi="Calibri" w:cs="Arial"/>
          <w:lang w:val="en-GB"/>
        </w:rPr>
        <w:t>MW</w:t>
      </w:r>
      <w:r w:rsidRPr="006936D0">
        <w:rPr>
          <w:rFonts w:ascii="Calibri" w:hAnsi="Calibri" w:cs="Arial"/>
          <w:lang w:val="en-GB"/>
        </w:rPr>
        <w:t xml:space="preserve">, </w:t>
      </w:r>
      <w:r>
        <w:rPr>
          <w:rFonts w:ascii="Calibri" w:hAnsi="Calibri" w:cs="Arial"/>
          <w:lang w:val="en-GB"/>
        </w:rPr>
        <w:t>V</w:t>
      </w:r>
      <w:r w:rsidRPr="006936D0">
        <w:rPr>
          <w:rFonts w:ascii="Calibri" w:hAnsi="Calibri" w:cs="Arial"/>
          <w:lang w:val="en-GB"/>
        </w:rPr>
        <w:t xml:space="preserve">riens </w:t>
      </w:r>
      <w:r w:rsidRPr="00FA4240">
        <w:rPr>
          <w:rFonts w:ascii="Calibri" w:hAnsi="Calibri" w:cs="Arial"/>
          <w:lang w:val="en-GB"/>
        </w:rPr>
        <w:t>BEPJ</w:t>
      </w:r>
      <w:r w:rsidRPr="006936D0">
        <w:rPr>
          <w:rFonts w:ascii="Calibri" w:hAnsi="Calibri" w:cs="Arial"/>
          <w:lang w:val="en-GB"/>
        </w:rPr>
        <w:t xml:space="preserve">, Aaldering KNA, Pepels MJAE, van de Winkel LMH, Tol J, Heijns JB, </w:t>
      </w:r>
      <w:r>
        <w:rPr>
          <w:rFonts w:ascii="Calibri" w:hAnsi="Calibri" w:cs="Arial"/>
          <w:lang w:val="en-GB"/>
        </w:rPr>
        <w:t>v</w:t>
      </w:r>
      <w:r w:rsidRPr="006936D0">
        <w:rPr>
          <w:rFonts w:ascii="Calibri" w:hAnsi="Calibri" w:cs="Arial"/>
          <w:lang w:val="en-GB"/>
        </w:rPr>
        <w:t>an de Wouw  AJ, Peters NAJB, Hochstenbach-Waelen A</w:t>
      </w:r>
      <w:r>
        <w:rPr>
          <w:rFonts w:ascii="Calibri" w:hAnsi="Calibri" w:cs="Arial"/>
          <w:lang w:val="en-GB"/>
        </w:rPr>
        <w:t xml:space="preserve">, </w:t>
      </w:r>
      <w:r w:rsidRPr="006936D0">
        <w:rPr>
          <w:rFonts w:ascii="Calibri" w:hAnsi="Calibri" w:cs="Arial"/>
          <w:lang w:val="en-GB"/>
        </w:rPr>
        <w:t xml:space="preserve">Smidt </w:t>
      </w:r>
      <w:r>
        <w:rPr>
          <w:rFonts w:ascii="Calibri" w:hAnsi="Calibri" w:cs="Arial"/>
          <w:lang w:val="en-GB"/>
        </w:rPr>
        <w:t>M</w:t>
      </w:r>
      <w:r w:rsidRPr="006936D0">
        <w:rPr>
          <w:rFonts w:ascii="Calibri" w:hAnsi="Calibri" w:cs="Arial"/>
          <w:lang w:val="en-GB"/>
        </w:rPr>
        <w:t>L, Geurts SME, Tjan-Heijnen VCG. The initial hormone receptor/HER2 subtype is the main determinator of subtype discordance in advanced breast cancer: a study of the SONABRE registry. Breast Cancer Res Treat.</w:t>
      </w:r>
      <w:r w:rsidR="00A2248A">
        <w:rPr>
          <w:rFonts w:ascii="Calibri" w:hAnsi="Calibri" w:cs="Arial"/>
          <w:lang w:val="en-GB"/>
        </w:rPr>
        <w:t xml:space="preserve"> 2022;</w:t>
      </w:r>
      <w:r w:rsidR="00A2248A" w:rsidRPr="00A2248A">
        <w:rPr>
          <w:rFonts w:ascii="Calibri" w:hAnsi="Calibri" w:cs="Arial"/>
          <w:lang w:val="en-GB"/>
        </w:rPr>
        <w:t>192(2):331-342.</w:t>
      </w:r>
    </w:p>
    <w:p w:rsidR="00F972E9" w:rsidRPr="006936D0" w:rsidRDefault="00F972E9" w:rsidP="00F972E9">
      <w:pPr>
        <w:pStyle w:val="Lijstalinea"/>
        <w:numPr>
          <w:ilvl w:val="0"/>
          <w:numId w:val="2"/>
        </w:numPr>
        <w:spacing w:line="240" w:lineRule="auto"/>
        <w:rPr>
          <w:rFonts w:ascii="Calibri" w:hAnsi="Calibri" w:cs="Arial"/>
          <w:lang w:val="en-GB"/>
        </w:rPr>
      </w:pPr>
      <w:r w:rsidRPr="006936D0">
        <w:rPr>
          <w:rFonts w:ascii="Calibri" w:hAnsi="Calibri" w:cs="Arial"/>
          <w:lang w:val="en-GB"/>
        </w:rPr>
        <w:t xml:space="preserve">Meegdes M, Geurts SME, Erdkamp FLG, Dercksen MW, Vriens BEPJ, Aaldering KNA, Pepels MJAE, </w:t>
      </w:r>
      <w:r>
        <w:rPr>
          <w:rFonts w:ascii="Calibri" w:hAnsi="Calibri" w:cs="Arial"/>
          <w:lang w:val="en-GB"/>
        </w:rPr>
        <w:t>v</w:t>
      </w:r>
      <w:r w:rsidRPr="006936D0">
        <w:rPr>
          <w:rFonts w:ascii="Calibri" w:hAnsi="Calibri" w:cs="Arial"/>
          <w:lang w:val="en-GB"/>
        </w:rPr>
        <w:t>an de Winkel LMH, Teeuwen NJA, de Boer M, Tjan-Heijnen VCG. The implementation of CDK 4/6 inhibitors and its impact on treatment choices in HR+/HER2- advanced breast cancer patients: A study of the Dutch SONABRE Re</w:t>
      </w:r>
      <w:r>
        <w:rPr>
          <w:rFonts w:ascii="Calibri" w:hAnsi="Calibri" w:cs="Arial"/>
          <w:lang w:val="en-GB"/>
        </w:rPr>
        <w:t>gistry. Int J Cancer. 2022</w:t>
      </w:r>
      <w:r w:rsidRPr="006936D0">
        <w:rPr>
          <w:rFonts w:ascii="Calibri" w:hAnsi="Calibri" w:cs="Arial"/>
          <w:lang w:val="en-GB"/>
        </w:rPr>
        <w:t>;150(1):124-131</w:t>
      </w:r>
      <w:r>
        <w:rPr>
          <w:rFonts w:ascii="Calibri" w:hAnsi="Calibri" w:cs="Arial"/>
          <w:lang w:val="en-GB"/>
        </w:rPr>
        <w:t>.</w:t>
      </w:r>
    </w:p>
    <w:p w:rsidR="00F972E9" w:rsidRPr="006936D0" w:rsidRDefault="00F972E9" w:rsidP="00F972E9">
      <w:pPr>
        <w:pStyle w:val="Lijstalinea"/>
        <w:numPr>
          <w:ilvl w:val="0"/>
          <w:numId w:val="2"/>
        </w:numPr>
        <w:spacing w:line="240" w:lineRule="auto"/>
        <w:rPr>
          <w:rFonts w:ascii="Calibri" w:hAnsi="Calibri" w:cs="Arial"/>
          <w:lang w:val="en-GB"/>
        </w:rPr>
      </w:pPr>
      <w:r w:rsidRPr="006936D0">
        <w:rPr>
          <w:rFonts w:ascii="Calibri" w:hAnsi="Calibri" w:cs="Arial"/>
          <w:lang w:val="en-GB"/>
        </w:rPr>
        <w:lastRenderedPageBreak/>
        <w:t xml:space="preserve">Schmitz RSJM, Geurts SME, </w:t>
      </w:r>
      <w:r>
        <w:rPr>
          <w:rFonts w:ascii="Calibri" w:hAnsi="Calibri" w:cs="Arial"/>
          <w:lang w:val="en-GB"/>
        </w:rPr>
        <w:t>I</w:t>
      </w:r>
      <w:r w:rsidRPr="006936D0">
        <w:rPr>
          <w:rFonts w:ascii="Calibri" w:hAnsi="Calibri" w:cs="Arial"/>
          <w:lang w:val="en-GB"/>
        </w:rPr>
        <w:t>bragimova KIE, Tilli</w:t>
      </w:r>
      <w:r>
        <w:rPr>
          <w:rFonts w:ascii="Calibri" w:hAnsi="Calibri" w:cs="Arial"/>
          <w:lang w:val="en-GB"/>
        </w:rPr>
        <w:t xml:space="preserve"> </w:t>
      </w:r>
      <w:r w:rsidRPr="006936D0">
        <w:rPr>
          <w:rFonts w:ascii="Calibri" w:hAnsi="Calibri" w:cs="Arial"/>
          <w:lang w:val="en-GB"/>
        </w:rPr>
        <w:t>DJP, Tjan-Heijnen VCG, de Boer M</w:t>
      </w:r>
      <w:r>
        <w:rPr>
          <w:rFonts w:ascii="Calibri" w:hAnsi="Calibri" w:cs="Arial"/>
          <w:lang w:val="en-GB"/>
        </w:rPr>
        <w:t xml:space="preserve">. </w:t>
      </w:r>
      <w:r w:rsidRPr="006936D0">
        <w:rPr>
          <w:rFonts w:ascii="Calibri" w:hAnsi="Calibri" w:cs="Arial"/>
          <w:lang w:val="en-GB"/>
        </w:rPr>
        <w:t xml:space="preserve">Healthcare Use during the Last Six Months of Life in Patients with Advanced Breast Cancer. </w:t>
      </w:r>
      <w:r>
        <w:rPr>
          <w:rFonts w:ascii="Calibri" w:hAnsi="Calibri" w:cs="Arial"/>
          <w:lang w:val="en-GB"/>
        </w:rPr>
        <w:t>Cancers. 2021</w:t>
      </w:r>
      <w:r w:rsidRPr="006936D0">
        <w:rPr>
          <w:rFonts w:ascii="Calibri" w:hAnsi="Calibri" w:cs="Arial"/>
          <w:lang w:val="en-GB"/>
        </w:rPr>
        <w:t>;13(21):5271.</w:t>
      </w:r>
    </w:p>
    <w:p w:rsidR="00F972E9" w:rsidRPr="006F52CB" w:rsidRDefault="00F972E9" w:rsidP="00F972E9">
      <w:pPr>
        <w:pStyle w:val="Lijstalinea"/>
        <w:numPr>
          <w:ilvl w:val="0"/>
          <w:numId w:val="2"/>
        </w:numPr>
        <w:spacing w:line="240" w:lineRule="auto"/>
        <w:rPr>
          <w:rFonts w:ascii="Calibri" w:hAnsi="Calibri" w:cs="Arial"/>
          <w:lang w:val="en-GB"/>
        </w:rPr>
      </w:pPr>
      <w:r w:rsidRPr="006F52CB">
        <w:rPr>
          <w:rFonts w:ascii="Calibri" w:hAnsi="Calibri" w:cs="Arial"/>
          <w:lang w:val="en-GB"/>
        </w:rPr>
        <w:t>Ibragimova KIE, Geurts SME, Croes S, Erdkamp F, Heijns JB, Tol J, Vriens BEPJ, Aaldering KNA, Dercksen MW, Pepels MJAE, Peters NAJB, van de Winkel L, Tilli DJP, Vriens IJH, de Boer M, Tjan-Heijnen VCG. Survival before and after the introduction of pertuzumab and T-DM1 in HER2-positive advanced breast cancer, a study of the SONABRE Registry.</w:t>
      </w:r>
      <w:r>
        <w:rPr>
          <w:rFonts w:ascii="Calibri" w:hAnsi="Calibri" w:cs="Arial"/>
          <w:lang w:val="en-GB"/>
        </w:rPr>
        <w:t xml:space="preserve"> </w:t>
      </w:r>
      <w:r w:rsidRPr="006936D0">
        <w:rPr>
          <w:rFonts w:ascii="Calibri" w:hAnsi="Calibri" w:cs="Arial"/>
          <w:lang w:val="en-GB"/>
        </w:rPr>
        <w:t>B</w:t>
      </w:r>
      <w:r w:rsidR="007E5C31">
        <w:rPr>
          <w:rFonts w:ascii="Calibri" w:hAnsi="Calibri" w:cs="Arial"/>
          <w:lang w:val="en-GB"/>
        </w:rPr>
        <w:t>reast Cancer Res Treat. 2021</w:t>
      </w:r>
      <w:r w:rsidRPr="006936D0">
        <w:rPr>
          <w:rFonts w:ascii="Calibri" w:hAnsi="Calibri" w:cs="Arial"/>
          <w:lang w:val="en-GB"/>
        </w:rPr>
        <w:t>;188(2):571-581.</w:t>
      </w:r>
    </w:p>
    <w:p w:rsidR="00F972E9" w:rsidRPr="006F52CB" w:rsidRDefault="00F972E9" w:rsidP="00F972E9">
      <w:pPr>
        <w:pStyle w:val="Lijstalinea"/>
        <w:numPr>
          <w:ilvl w:val="0"/>
          <w:numId w:val="2"/>
        </w:numPr>
        <w:spacing w:line="240" w:lineRule="auto"/>
        <w:rPr>
          <w:rFonts w:ascii="Calibri" w:hAnsi="Calibri" w:cs="Arial"/>
          <w:lang w:val="en-GB"/>
        </w:rPr>
      </w:pPr>
      <w:r w:rsidRPr="006F52CB">
        <w:rPr>
          <w:rFonts w:ascii="Calibri" w:hAnsi="Calibri" w:cs="Arial"/>
          <w:lang w:val="en-GB"/>
        </w:rPr>
        <w:t xml:space="preserve">Schneider PP, Ramaekers BLT, Pouwels XGLV, Geurts SME, Ibragimova KIE, de Boer M, Vriens BEPJ, van de Wouw YAJ, den Boer MO, Pepels MJ, Tjan-Heijnen VCG, Joore MA. Resource Use and Associated Costs in Patients With Advanced Breast Cancer: a Real-world Study in the South East of the Netherlands. </w:t>
      </w:r>
      <w:r w:rsidRPr="006936D0">
        <w:rPr>
          <w:rFonts w:ascii="Calibri" w:hAnsi="Calibri" w:cs="Arial"/>
          <w:lang w:val="en-GB"/>
        </w:rPr>
        <w:t>Value Health. 2021;24(5):668-675.</w:t>
      </w:r>
    </w:p>
    <w:p w:rsidR="00F972E9" w:rsidRPr="00BC7D01" w:rsidRDefault="00F972E9" w:rsidP="007E5C31">
      <w:pPr>
        <w:pStyle w:val="Lijstalinea"/>
        <w:numPr>
          <w:ilvl w:val="0"/>
          <w:numId w:val="2"/>
        </w:numPr>
        <w:rPr>
          <w:rFonts w:ascii="Calibri" w:hAnsi="Calibri" w:cs="Arial"/>
          <w:lang w:val="en-GB"/>
        </w:rPr>
      </w:pPr>
      <w:r w:rsidRPr="00BC7D01">
        <w:rPr>
          <w:rFonts w:ascii="Calibri" w:hAnsi="Calibri" w:cs="Arial"/>
          <w:lang w:val="en-GB"/>
        </w:rPr>
        <w:t>Claessens AKM, Ramaekers BLT, Lobbezoo DJA, van Kampen RJW, de Boer M, van de Wouw AJ, Dercksen MW, Geurts SME, Joore MA, Tjan-Heijnen VCG.</w:t>
      </w:r>
      <w:r w:rsidRPr="00BC7D01">
        <w:rPr>
          <w:lang w:val="en-GB"/>
        </w:rPr>
        <w:t xml:space="preserve"> </w:t>
      </w:r>
      <w:r w:rsidRPr="00BC7D01">
        <w:rPr>
          <w:rFonts w:ascii="Calibri" w:hAnsi="Calibri" w:cs="Arial"/>
          <w:lang w:val="en-GB"/>
        </w:rPr>
        <w:t>Quality of life in a real-world cohort of advanced breast cancer patients: a study of the SONABR</w:t>
      </w:r>
      <w:r w:rsidR="007E5C31">
        <w:rPr>
          <w:rFonts w:ascii="Calibri" w:hAnsi="Calibri" w:cs="Arial"/>
          <w:lang w:val="en-GB"/>
        </w:rPr>
        <w:t>E Registry. Qual Life Res. 2020;</w:t>
      </w:r>
      <w:r w:rsidR="007E5C31" w:rsidRPr="007E5C31">
        <w:t xml:space="preserve"> </w:t>
      </w:r>
      <w:r w:rsidR="007E5C31" w:rsidRPr="007E5C31">
        <w:rPr>
          <w:rFonts w:ascii="Calibri" w:hAnsi="Calibri" w:cs="Arial"/>
          <w:lang w:val="en-GB"/>
        </w:rPr>
        <w:t>29(12):3363-3374.</w:t>
      </w:r>
    </w:p>
    <w:p w:rsidR="00F972E9" w:rsidRPr="00BC7D01" w:rsidRDefault="00F972E9" w:rsidP="00F972E9">
      <w:pPr>
        <w:pStyle w:val="Lijstalinea"/>
        <w:numPr>
          <w:ilvl w:val="0"/>
          <w:numId w:val="2"/>
        </w:numPr>
        <w:rPr>
          <w:rFonts w:ascii="Calibri" w:hAnsi="Calibri" w:cs="Arial"/>
          <w:lang w:val="en-GB"/>
        </w:rPr>
      </w:pPr>
      <w:r w:rsidRPr="00BC7D01">
        <w:rPr>
          <w:rFonts w:ascii="Calibri" w:hAnsi="Calibri" w:cs="Arial"/>
          <w:lang w:val="en-GB"/>
        </w:rPr>
        <w:t xml:space="preserve">Claessens AKM, Ibragimova KIE, Geurts SME, Bos MEMM, Erdkamp FLG, Tjan-Heijnen VCG. </w:t>
      </w:r>
      <w:hyperlink r:id="rId5" w:history="1">
        <w:r w:rsidRPr="00BC7D01">
          <w:rPr>
            <w:rFonts w:ascii="Calibri" w:hAnsi="Calibri" w:cs="Arial"/>
            <w:lang w:val="en-GB"/>
          </w:rPr>
          <w:t xml:space="preserve">The role of chemotherapy in treatment of advanced breast cancer: an overview for clinical practice. </w:t>
        </w:r>
      </w:hyperlink>
      <w:r w:rsidRPr="00BC7D01">
        <w:rPr>
          <w:rFonts w:ascii="Calibri" w:hAnsi="Calibri" w:cs="Arial"/>
          <w:lang w:val="en-GB"/>
        </w:rPr>
        <w:t>Crit Rev O</w:t>
      </w:r>
      <w:r w:rsidR="007E5C31">
        <w:rPr>
          <w:rFonts w:ascii="Calibri" w:hAnsi="Calibri" w:cs="Arial"/>
          <w:lang w:val="en-GB"/>
        </w:rPr>
        <w:t>ncol Hematol. 2020, 153:102988.</w:t>
      </w:r>
    </w:p>
    <w:p w:rsidR="00F972E9" w:rsidRPr="00BC7D01" w:rsidRDefault="00F972E9" w:rsidP="00F972E9">
      <w:pPr>
        <w:pStyle w:val="Lijstalinea"/>
        <w:numPr>
          <w:ilvl w:val="0"/>
          <w:numId w:val="2"/>
        </w:numPr>
        <w:spacing w:line="240" w:lineRule="auto"/>
        <w:rPr>
          <w:rFonts w:ascii="Calibri" w:hAnsi="Calibri" w:cs="Arial"/>
          <w:lang w:val="en-GB"/>
        </w:rPr>
      </w:pPr>
      <w:r w:rsidRPr="00BC7D01">
        <w:rPr>
          <w:rFonts w:ascii="Calibri" w:hAnsi="Calibri" w:cs="Arial"/>
          <w:lang w:val="en-GB"/>
        </w:rPr>
        <w:t>Schneider PP, Pouwels XGLV, Lima Passos V, Ramaekers BLT, Geurts SME, Ibragimova KIE, de Boer M, Erdkamp F, Vriens BEPJ, van de Wouw AJ, den Boer MO, Pepels MJ, Tjan-Heijnen VCG, Joore MA. Variability  of cost trajectories during the last year of life – an explorative study in patients with advanced breast cancer in the Netherlands. PL</w:t>
      </w:r>
      <w:r w:rsidR="00E73365">
        <w:rPr>
          <w:rFonts w:ascii="Calibri" w:hAnsi="Calibri" w:cs="Arial"/>
          <w:lang w:val="en-GB"/>
        </w:rPr>
        <w:t>oS One. 2020;15(4),e0230909.</w:t>
      </w:r>
    </w:p>
    <w:p w:rsidR="00F972E9" w:rsidRDefault="00F972E9" w:rsidP="00F972E9">
      <w:pPr>
        <w:pStyle w:val="Lijstalinea"/>
        <w:numPr>
          <w:ilvl w:val="0"/>
          <w:numId w:val="2"/>
        </w:numPr>
        <w:spacing w:after="160" w:line="252" w:lineRule="auto"/>
        <w:rPr>
          <w:rFonts w:ascii="Calibri" w:hAnsi="Calibri" w:cs="Arial"/>
          <w:lang w:val="en-GB"/>
        </w:rPr>
      </w:pPr>
      <w:r w:rsidRPr="00BC7D01">
        <w:rPr>
          <w:rFonts w:ascii="Calibri" w:hAnsi="Calibri" w:cs="Arial"/>
          <w:lang w:val="en-GB"/>
        </w:rPr>
        <w:t xml:space="preserve">Pouwels XGLV, Ramaekers BLT, Geurts SME, Erdkamp F, Vriens BEPJ, Aaldering KNA, van de Wouw AJ, Dercksen MW, Smilde TJ, Peters NAJB, van Riel JMGH, Pepels MJ, Heijnen-Mommers J, Tjan-Heijnen VCG, de Boer M, Joore MA. </w:t>
      </w:r>
      <w:hyperlink r:id="rId6" w:history="1">
        <w:r w:rsidRPr="00BC7D01">
          <w:rPr>
            <w:rFonts w:ascii="Calibri" w:hAnsi="Calibri" w:cs="Arial"/>
            <w:lang w:val="en-GB"/>
          </w:rPr>
          <w:t xml:space="preserve">An economic evaluation of eribulin for advanced breast cancer treatment based on the Southeast Netherlands advanced breast cancer registry. </w:t>
        </w:r>
      </w:hyperlink>
      <w:r w:rsidRPr="00BC7D01">
        <w:rPr>
          <w:rFonts w:ascii="Calibri" w:hAnsi="Calibri" w:cs="Arial"/>
          <w:b/>
          <w:bCs/>
          <w:lang w:val="en-GB"/>
        </w:rPr>
        <w:t xml:space="preserve"> </w:t>
      </w:r>
      <w:r w:rsidRPr="00BC7D01">
        <w:rPr>
          <w:rFonts w:ascii="Calibri" w:hAnsi="Calibri" w:cs="Arial"/>
          <w:lang w:val="en-GB"/>
        </w:rPr>
        <w:t>Acta O</w:t>
      </w:r>
      <w:r w:rsidR="00E73365">
        <w:rPr>
          <w:rFonts w:ascii="Calibri" w:hAnsi="Calibri" w:cs="Arial"/>
          <w:lang w:val="en-GB"/>
        </w:rPr>
        <w:t>ncol. 2020;59(9):1123-1130.</w:t>
      </w:r>
    </w:p>
    <w:p w:rsidR="00F972E9" w:rsidRPr="00013D63" w:rsidRDefault="00F972E9" w:rsidP="00F972E9">
      <w:pPr>
        <w:pStyle w:val="Lijstalinea"/>
        <w:numPr>
          <w:ilvl w:val="0"/>
          <w:numId w:val="2"/>
        </w:numPr>
        <w:spacing w:after="160" w:line="252" w:lineRule="auto"/>
        <w:rPr>
          <w:rFonts w:ascii="Calibri" w:hAnsi="Calibri" w:cs="Arial"/>
          <w:lang w:val="en-GB"/>
        </w:rPr>
      </w:pPr>
      <w:r w:rsidRPr="00013D63">
        <w:rPr>
          <w:rFonts w:ascii="Calibri" w:hAnsi="Calibri" w:cs="Arial"/>
          <w:lang w:val="en-GB"/>
        </w:rPr>
        <w:t xml:space="preserve">Pouwels XGLV, Geurts SME, Ramaekers BLT, Erdkamp F, Vriens BEPJ, Aaldering KNA, van de Wouw AJ, Dercksen MW, Smilde TJ, Peters NAJB, Riel JMV, Pepels MJ, Heijnen-Mommers J, Joore MA, Tjan-Heijnen VCG, de Boer M. The relative effectiveness of eribulin for advanced breast cancer treatment: a study of the southeast Netherlands advanced breast cancer registry. </w:t>
      </w:r>
      <w:r w:rsidRPr="00013D63">
        <w:rPr>
          <w:rStyle w:val="jrnl"/>
          <w:rFonts w:ascii="Calibri" w:hAnsi="Calibri" w:cs="Arial"/>
          <w:lang w:val="en-GB"/>
        </w:rPr>
        <w:t>Acta Oncol</w:t>
      </w:r>
      <w:r w:rsidRPr="00013D63">
        <w:rPr>
          <w:rFonts w:ascii="Calibri" w:hAnsi="Calibri" w:cs="Arial"/>
          <w:lang w:val="en-GB"/>
        </w:rPr>
        <w:t xml:space="preserve"> 2020</w:t>
      </w:r>
      <w:r w:rsidR="00E73365">
        <w:rPr>
          <w:rFonts w:ascii="Calibri" w:hAnsi="Calibri" w:cs="Arial"/>
          <w:lang w:val="en-GB"/>
        </w:rPr>
        <w:t>;</w:t>
      </w:r>
      <w:r w:rsidRPr="00013D63">
        <w:rPr>
          <w:rFonts w:cs="Arial"/>
          <w:lang w:val="en-GB"/>
        </w:rPr>
        <w:t>59(1),82-89.</w:t>
      </w:r>
    </w:p>
    <w:p w:rsidR="00F972E9" w:rsidRPr="00546EFD" w:rsidRDefault="00F972E9" w:rsidP="00F972E9">
      <w:pPr>
        <w:pStyle w:val="Lijstalinea"/>
        <w:numPr>
          <w:ilvl w:val="0"/>
          <w:numId w:val="2"/>
        </w:numPr>
        <w:spacing w:line="240" w:lineRule="auto"/>
        <w:rPr>
          <w:rFonts w:ascii="Calibri" w:hAnsi="Calibri" w:cs="Arial"/>
          <w:lang w:val="en-GB"/>
        </w:rPr>
      </w:pPr>
      <w:r w:rsidRPr="00546EFD">
        <w:rPr>
          <w:rFonts w:ascii="Calibri" w:hAnsi="Calibri" w:cs="Arial"/>
          <w:lang w:val="en-GB"/>
        </w:rPr>
        <w:t xml:space="preserve">Knapen LM, Geurts SME, Ibragimova KIE, Croes S, Vriens BEPJ, van den Berkmortel FWPJ, Dercksen MW, van de Wouw AJ, Pepels MJAE, de Fallois AOJ, Lobbezoo DJA, de Boer M, Tjan-Heijnen VCG. A real-life study on the implementation and effectiveness of exemestane plus everolimus per hospital type in patients with advanced breast cancer. A study of the Southeast Netherlands Advanced Breast Cancer registry. </w:t>
      </w:r>
      <w:r w:rsidRPr="00546EFD">
        <w:rPr>
          <w:rStyle w:val="jrnl"/>
          <w:rFonts w:ascii="Calibri" w:hAnsi="Calibri" w:cs="Arial"/>
          <w:lang w:val="en-GB"/>
        </w:rPr>
        <w:t>Breast</w:t>
      </w:r>
      <w:r w:rsidR="00E73365">
        <w:rPr>
          <w:rStyle w:val="jrnl"/>
          <w:rFonts w:ascii="Calibri" w:hAnsi="Calibri" w:cs="Arial"/>
          <w:lang w:val="en-GB"/>
        </w:rPr>
        <w:t>.</w:t>
      </w:r>
      <w:r w:rsidRPr="00546EFD">
        <w:rPr>
          <w:rFonts w:ascii="Calibri" w:hAnsi="Calibri" w:cs="Arial"/>
          <w:lang w:val="en-GB"/>
        </w:rPr>
        <w:t xml:space="preserve"> 2019;44:46-51.</w:t>
      </w:r>
    </w:p>
    <w:p w:rsidR="00F972E9" w:rsidRPr="00546EFD" w:rsidRDefault="00F972E9" w:rsidP="00F972E9">
      <w:pPr>
        <w:pStyle w:val="Lijstalinea"/>
        <w:numPr>
          <w:ilvl w:val="0"/>
          <w:numId w:val="2"/>
        </w:numPr>
        <w:spacing w:line="240" w:lineRule="auto"/>
        <w:rPr>
          <w:rFonts w:ascii="Calibri" w:hAnsi="Calibri" w:cs="Arial"/>
          <w:lang w:val="en-GB"/>
        </w:rPr>
      </w:pPr>
      <w:r w:rsidRPr="007B2D9E">
        <w:rPr>
          <w:rFonts w:ascii="Calibri" w:hAnsi="Calibri" w:cs="Arial"/>
        </w:rPr>
        <w:t xml:space="preserve">Seferina SC, Ramaekers BLT, de </w:t>
      </w:r>
      <w:r w:rsidRPr="007B2D9E">
        <w:rPr>
          <w:rFonts w:ascii="Calibri" w:hAnsi="Calibri" w:cs="Arial"/>
          <w:bCs/>
        </w:rPr>
        <w:t>Boer</w:t>
      </w:r>
      <w:r w:rsidRPr="007B2D9E">
        <w:rPr>
          <w:rFonts w:ascii="Calibri" w:hAnsi="Calibri" w:cs="Arial"/>
        </w:rPr>
        <w:t xml:space="preserve"> M, Dercksen MW, van den Berkmortel F, van Kampen RJW, van de Wouw AJ, Voogd AC, Tjan Heijnen VCG, Joore MA. </w:t>
      </w:r>
      <w:r w:rsidRPr="00546EFD">
        <w:rPr>
          <w:rFonts w:ascii="Calibri" w:hAnsi="Calibri" w:cs="Arial"/>
          <w:lang w:val="en-GB"/>
        </w:rPr>
        <w:t>Cost and cost-effectiveness of adjuvant trastuzumab in the real world setting: A study of the Southeast Netherlands Breast Cancer Consortium.</w:t>
      </w:r>
      <w:r w:rsidRPr="00546EFD">
        <w:rPr>
          <w:rStyle w:val="Kop1Char"/>
          <w:rFonts w:ascii="Calibri" w:hAnsi="Calibri" w:cs="Arial"/>
          <w:lang w:val="en-GB"/>
        </w:rPr>
        <w:t xml:space="preserve"> </w:t>
      </w:r>
      <w:r w:rsidRPr="00546EFD">
        <w:rPr>
          <w:rStyle w:val="jrnl"/>
          <w:rFonts w:ascii="Calibri" w:hAnsi="Calibri" w:cs="Arial"/>
          <w:lang w:val="en-GB"/>
        </w:rPr>
        <w:t>Oncotarget</w:t>
      </w:r>
      <w:r w:rsidR="00E73365">
        <w:rPr>
          <w:rStyle w:val="jrnl"/>
          <w:rFonts w:ascii="Calibri" w:hAnsi="Calibri" w:cs="Arial"/>
          <w:lang w:val="en-GB"/>
        </w:rPr>
        <w:t>.</w:t>
      </w:r>
      <w:r w:rsidRPr="00546EFD">
        <w:rPr>
          <w:rFonts w:ascii="Calibri" w:hAnsi="Calibri" w:cs="Arial"/>
          <w:lang w:val="en-GB"/>
        </w:rPr>
        <w:t xml:space="preserve"> 2017;8(45):79223-79233.</w:t>
      </w:r>
    </w:p>
    <w:p w:rsidR="00F972E9" w:rsidRPr="00546EFD" w:rsidRDefault="00F972E9" w:rsidP="00F972E9">
      <w:pPr>
        <w:pStyle w:val="Lijstalinea"/>
        <w:numPr>
          <w:ilvl w:val="0"/>
          <w:numId w:val="2"/>
        </w:numPr>
        <w:spacing w:line="240" w:lineRule="auto"/>
        <w:rPr>
          <w:rFonts w:ascii="Calibri" w:hAnsi="Calibri" w:cs="Arial"/>
          <w:lang w:val="en-GB"/>
        </w:rPr>
      </w:pPr>
      <w:r w:rsidRPr="007B2D9E">
        <w:rPr>
          <w:rFonts w:ascii="Calibri" w:hAnsi="Calibri" w:cs="Arial"/>
        </w:rPr>
        <w:t xml:space="preserve">van Kampen RJW, Ramaekers BLT, Lobbezoo DJA, de </w:t>
      </w:r>
      <w:r w:rsidRPr="007B2D9E">
        <w:rPr>
          <w:rFonts w:ascii="Calibri" w:hAnsi="Calibri" w:cs="Arial"/>
          <w:bCs/>
        </w:rPr>
        <w:t>Boer</w:t>
      </w:r>
      <w:r w:rsidRPr="007B2D9E">
        <w:rPr>
          <w:rFonts w:ascii="Calibri" w:hAnsi="Calibri" w:cs="Arial"/>
        </w:rPr>
        <w:t xml:space="preserve"> M, Dercksen MW, van den Berkmortel F, Smilde TJ, van de Wouw AJ, Peters FPJ, van Riel JMG, Peters NAJB, Tjan-Heijnen VCG, Joore MA. </w:t>
      </w:r>
      <w:r w:rsidRPr="00546EFD">
        <w:rPr>
          <w:rFonts w:ascii="Calibri" w:hAnsi="Calibri" w:cs="Arial"/>
          <w:lang w:val="en-GB"/>
        </w:rPr>
        <w:t xml:space="preserve">Real-world and trial-based cost-effectiveness analysis of bevacizumab in HER2-negative metastatic breast cancer patients: a study of the Southeast Netherlands Breast Cancer Consortium. </w:t>
      </w:r>
      <w:r w:rsidRPr="00546EFD">
        <w:rPr>
          <w:rStyle w:val="jrnl"/>
          <w:rFonts w:ascii="Calibri" w:hAnsi="Calibri" w:cs="Arial"/>
          <w:lang w:val="en-GB"/>
        </w:rPr>
        <w:t>Eur J Cancer</w:t>
      </w:r>
      <w:r w:rsidR="00E73365">
        <w:rPr>
          <w:rStyle w:val="jrnl"/>
          <w:rFonts w:ascii="Calibri" w:hAnsi="Calibri" w:cs="Arial"/>
          <w:lang w:val="en-GB"/>
        </w:rPr>
        <w:t>.</w:t>
      </w:r>
      <w:r w:rsidRPr="00546EFD">
        <w:rPr>
          <w:rFonts w:ascii="Calibri" w:hAnsi="Calibri" w:cs="Arial"/>
          <w:lang w:val="en-GB"/>
        </w:rPr>
        <w:t xml:space="preserve"> 2017;79:238-246.</w:t>
      </w:r>
    </w:p>
    <w:p w:rsidR="00F972E9" w:rsidRPr="00546EFD" w:rsidRDefault="00F972E9" w:rsidP="00F972E9">
      <w:pPr>
        <w:pStyle w:val="Lijstalinea"/>
        <w:numPr>
          <w:ilvl w:val="0"/>
          <w:numId w:val="2"/>
        </w:numPr>
        <w:spacing w:line="240" w:lineRule="auto"/>
        <w:rPr>
          <w:rFonts w:ascii="Calibri" w:hAnsi="Calibri" w:cs="Arial"/>
          <w:lang w:val="en-GB"/>
        </w:rPr>
      </w:pPr>
      <w:r w:rsidRPr="00546EFD">
        <w:rPr>
          <w:rFonts w:ascii="Calibri" w:hAnsi="Calibri" w:cs="Arial"/>
          <w:lang w:val="en-GB"/>
        </w:rPr>
        <w:t>van Kampen RJW, Lobbezoo DJA, de Boer M, Dercksen MW, Voogd AC, van den Berkmortel  F, Smilde TJ, van de Wouw AJ, Peters FPJ , van Riel JMG, Peters NAJB, Peer PGM, Joore MA, Tjan-Heijnen VCG. A real-world study on implementation of bevacizumab in a cohort of HER2-</w:t>
      </w:r>
      <w:r w:rsidRPr="00546EFD">
        <w:rPr>
          <w:rFonts w:ascii="Calibri" w:hAnsi="Calibri" w:cs="Arial"/>
          <w:lang w:val="en-GB"/>
        </w:rPr>
        <w:lastRenderedPageBreak/>
        <w:t>negative metastatic breast cancer patients: A study of the Southeast Netherlands Breast Cancer Consortium. Cancer Treat Res Commun</w:t>
      </w:r>
      <w:r w:rsidR="00E73365">
        <w:rPr>
          <w:rFonts w:ascii="Calibri" w:hAnsi="Calibri" w:cs="Arial"/>
          <w:lang w:val="en-GB"/>
        </w:rPr>
        <w:t>.</w:t>
      </w:r>
      <w:r w:rsidRPr="00546EFD">
        <w:rPr>
          <w:rFonts w:ascii="Calibri" w:hAnsi="Calibri" w:cs="Arial"/>
          <w:lang w:val="en-GB"/>
        </w:rPr>
        <w:t xml:space="preserve"> 2017;13:3-8.</w:t>
      </w:r>
    </w:p>
    <w:p w:rsidR="00F972E9" w:rsidRPr="00546EFD" w:rsidRDefault="00F972E9" w:rsidP="00F972E9">
      <w:pPr>
        <w:pStyle w:val="Lijstalinea"/>
        <w:numPr>
          <w:ilvl w:val="0"/>
          <w:numId w:val="2"/>
        </w:numPr>
        <w:spacing w:line="240" w:lineRule="auto"/>
        <w:rPr>
          <w:rFonts w:ascii="Calibri" w:hAnsi="Calibri" w:cs="Arial"/>
          <w:lang w:val="en-GB"/>
        </w:rPr>
      </w:pPr>
      <w:r w:rsidRPr="007B2D9E">
        <w:rPr>
          <w:rFonts w:ascii="Calibri" w:hAnsi="Calibri" w:cs="Arial"/>
        </w:rPr>
        <w:t xml:space="preserve">Seferina SC, de </w:t>
      </w:r>
      <w:r w:rsidRPr="007B2D9E">
        <w:rPr>
          <w:rFonts w:ascii="Calibri" w:hAnsi="Calibri" w:cs="Arial"/>
          <w:bCs/>
        </w:rPr>
        <w:t>Boer</w:t>
      </w:r>
      <w:r w:rsidRPr="007B2D9E">
        <w:rPr>
          <w:rFonts w:ascii="Calibri" w:hAnsi="Calibri" w:cs="Arial"/>
        </w:rPr>
        <w:t xml:space="preserve"> M, Derksen MW, van den Berkmortel F, van Kampen RJ, van de Wouw AJ, Joore M, Peer PG, Voogd AC, Tjan-Heijnen VC. </w:t>
      </w:r>
      <w:r w:rsidRPr="00546EFD">
        <w:rPr>
          <w:rFonts w:ascii="Calibri" w:hAnsi="Calibri" w:cs="Arial"/>
          <w:lang w:val="en-GB"/>
        </w:rPr>
        <w:t xml:space="preserve">Cardiotoxicity and Cardiac Monitoring During Adjuvant Trastuzumab in Daily Dutch Practice: A Study of the Southeast Netherlands Breast Cancer Consortium.  </w:t>
      </w:r>
      <w:r w:rsidRPr="00546EFD">
        <w:rPr>
          <w:rStyle w:val="jrnl"/>
          <w:rFonts w:ascii="Calibri" w:hAnsi="Calibri" w:cs="Arial"/>
          <w:lang w:val="en-GB"/>
        </w:rPr>
        <w:t>Oncologist</w:t>
      </w:r>
      <w:r w:rsidR="00E73365">
        <w:rPr>
          <w:rStyle w:val="jrnl"/>
          <w:rFonts w:ascii="Calibri" w:hAnsi="Calibri" w:cs="Arial"/>
          <w:lang w:val="en-GB"/>
        </w:rPr>
        <w:t>.</w:t>
      </w:r>
      <w:r w:rsidRPr="00546EFD">
        <w:rPr>
          <w:rFonts w:ascii="Calibri" w:hAnsi="Calibri" w:cs="Arial"/>
          <w:lang w:val="en-GB"/>
        </w:rPr>
        <w:t xml:space="preserve"> 2016;21(5):555-62.</w:t>
      </w:r>
    </w:p>
    <w:p w:rsidR="00F972E9" w:rsidRPr="00546EFD" w:rsidRDefault="00F972E9" w:rsidP="00F972E9">
      <w:pPr>
        <w:pStyle w:val="Lijstalinea"/>
        <w:numPr>
          <w:ilvl w:val="0"/>
          <w:numId w:val="2"/>
        </w:numPr>
        <w:spacing w:line="240" w:lineRule="auto"/>
        <w:rPr>
          <w:rFonts w:ascii="Calibri" w:hAnsi="Calibri" w:cs="Arial"/>
          <w:lang w:val="en-GB"/>
        </w:rPr>
      </w:pPr>
      <w:r w:rsidRPr="00546EFD">
        <w:rPr>
          <w:rFonts w:ascii="Calibri" w:hAnsi="Calibri" w:cs="Arial"/>
          <w:bCs/>
          <w:lang w:val="en-GB"/>
        </w:rPr>
        <w:t>Lobbezoo</w:t>
      </w:r>
      <w:r w:rsidRPr="00546EFD">
        <w:rPr>
          <w:rFonts w:ascii="Calibri" w:hAnsi="Calibri" w:cs="Arial"/>
          <w:lang w:val="en-GB"/>
        </w:rPr>
        <w:t xml:space="preserve"> D, Truin W, Voogd A, Roumen R, Vreugdenhil G, Dercksen MW, van den Berkmortel F, Smilde T, van de Wouw A, van Kampen R, van Riel J, Peters N, Peer P, Tjan-Heijnen VC. The role of histological subtype in hormone receptor positive metastatic breast cancer: similar survival but different therapeutic approaches. </w:t>
      </w:r>
      <w:r w:rsidRPr="00546EFD">
        <w:rPr>
          <w:rStyle w:val="jrnl"/>
          <w:rFonts w:ascii="Calibri" w:hAnsi="Calibri" w:cs="Arial"/>
          <w:lang w:val="en-GB"/>
        </w:rPr>
        <w:t>Oncotarget</w:t>
      </w:r>
      <w:r w:rsidR="00E73365">
        <w:rPr>
          <w:rStyle w:val="jrnl"/>
          <w:rFonts w:ascii="Calibri" w:hAnsi="Calibri" w:cs="Arial"/>
          <w:lang w:val="en-GB"/>
        </w:rPr>
        <w:t>.</w:t>
      </w:r>
      <w:r w:rsidRPr="00546EFD">
        <w:rPr>
          <w:rFonts w:ascii="Calibri" w:hAnsi="Calibri" w:cs="Arial"/>
          <w:lang w:val="en-GB"/>
        </w:rPr>
        <w:t xml:space="preserve"> 2016;7(20):29412-9.</w:t>
      </w:r>
    </w:p>
    <w:p w:rsidR="00F972E9" w:rsidRPr="00546EFD" w:rsidRDefault="00F972E9" w:rsidP="00F972E9">
      <w:pPr>
        <w:pStyle w:val="Lijstalinea"/>
        <w:numPr>
          <w:ilvl w:val="0"/>
          <w:numId w:val="2"/>
        </w:numPr>
        <w:spacing w:line="240" w:lineRule="auto"/>
        <w:rPr>
          <w:rFonts w:ascii="Calibri" w:hAnsi="Calibri" w:cs="Arial"/>
          <w:lang w:val="en-GB"/>
        </w:rPr>
      </w:pPr>
      <w:r w:rsidRPr="007B2D9E">
        <w:rPr>
          <w:rFonts w:ascii="Calibri" w:hAnsi="Calibri" w:cs="Arial"/>
        </w:rPr>
        <w:t xml:space="preserve">Lobbezoo DJ, van Kampen RJ, Voogd AC, Dercksen MW, van den Berkmortel F, Smilde TJ, van de Wouw AJ, Peters FP, van Riel JM, Peters NA, de </w:t>
      </w:r>
      <w:r w:rsidRPr="007B2D9E">
        <w:rPr>
          <w:rFonts w:ascii="Calibri" w:hAnsi="Calibri" w:cs="Arial"/>
          <w:bCs/>
        </w:rPr>
        <w:t>Boer</w:t>
      </w:r>
      <w:r w:rsidRPr="007B2D9E">
        <w:rPr>
          <w:rFonts w:ascii="Calibri" w:hAnsi="Calibri" w:cs="Arial"/>
        </w:rPr>
        <w:t xml:space="preserve"> M, Peer PG, Tjan-Heijnen VC. </w:t>
      </w:r>
      <w:r w:rsidRPr="00546EFD">
        <w:rPr>
          <w:rFonts w:ascii="Calibri" w:hAnsi="Calibri" w:cs="Arial"/>
          <w:lang w:val="en-GB"/>
        </w:rPr>
        <w:t xml:space="preserve">In real life, one-quarter of patients with hormone receptor-positive metastatic breast cancer receive chemotherapy as initial palliative therapy: a study of the Southeast Netherlands Breast Cancer Consortium. </w:t>
      </w:r>
      <w:r w:rsidRPr="00546EFD">
        <w:rPr>
          <w:rStyle w:val="jrnl"/>
          <w:rFonts w:ascii="Calibri" w:hAnsi="Calibri" w:cs="Arial"/>
          <w:lang w:val="en-GB"/>
        </w:rPr>
        <w:t>Ann Oncol</w:t>
      </w:r>
      <w:r w:rsidR="00E73365">
        <w:rPr>
          <w:rStyle w:val="jrnl"/>
          <w:rFonts w:ascii="Calibri" w:hAnsi="Calibri" w:cs="Arial"/>
          <w:lang w:val="en-GB"/>
        </w:rPr>
        <w:t>.</w:t>
      </w:r>
      <w:r w:rsidRPr="00546EFD">
        <w:rPr>
          <w:rFonts w:ascii="Calibri" w:hAnsi="Calibri" w:cs="Arial"/>
          <w:lang w:val="en-GB"/>
        </w:rPr>
        <w:t xml:space="preserve"> 2016;27(2):256-62.</w:t>
      </w:r>
    </w:p>
    <w:p w:rsidR="00F972E9" w:rsidRPr="00546EFD" w:rsidRDefault="00F972E9" w:rsidP="00F972E9">
      <w:pPr>
        <w:pStyle w:val="Lijstalinea"/>
        <w:numPr>
          <w:ilvl w:val="0"/>
          <w:numId w:val="2"/>
        </w:numPr>
        <w:spacing w:line="240" w:lineRule="auto"/>
        <w:rPr>
          <w:rFonts w:ascii="Calibri" w:hAnsi="Calibri" w:cs="Arial"/>
          <w:lang w:val="en-GB"/>
        </w:rPr>
      </w:pPr>
      <w:r w:rsidRPr="007B2D9E">
        <w:rPr>
          <w:rFonts w:ascii="Calibri" w:hAnsi="Calibri" w:cs="Arial"/>
        </w:rPr>
        <w:t xml:space="preserve">Seferina SC, Lobbezoo DJ, de </w:t>
      </w:r>
      <w:r w:rsidRPr="007B2D9E">
        <w:rPr>
          <w:rFonts w:ascii="Calibri" w:hAnsi="Calibri" w:cs="Arial"/>
          <w:bCs/>
        </w:rPr>
        <w:t>Boer</w:t>
      </w:r>
      <w:r w:rsidRPr="007B2D9E">
        <w:rPr>
          <w:rFonts w:ascii="Calibri" w:hAnsi="Calibri" w:cs="Arial"/>
        </w:rPr>
        <w:t xml:space="preserve"> M, Dercksen MW, van den Berkmortel F, van Kampen RJ, van de Wouw AJ, de Vries B, Joore MA, Peer PG, Voogd AC, Tjan-Heijnen VC. </w:t>
      </w:r>
      <w:r w:rsidRPr="00546EFD">
        <w:rPr>
          <w:rFonts w:ascii="Calibri" w:hAnsi="Calibri" w:cs="Arial"/>
          <w:lang w:val="en-GB"/>
        </w:rPr>
        <w:t xml:space="preserve">Real-Life Use and Effectiveness of Adjuvant Trastuzumab in Early Breast Cancer Patients: A Study of the Southeast Netherlands Breast Cancer Consortium.  </w:t>
      </w:r>
      <w:r w:rsidRPr="00546EFD">
        <w:rPr>
          <w:rStyle w:val="jrnl"/>
          <w:rFonts w:ascii="Calibri" w:hAnsi="Calibri" w:cs="Arial"/>
          <w:lang w:val="en-GB"/>
        </w:rPr>
        <w:t>Oncologist</w:t>
      </w:r>
      <w:r w:rsidR="00E73365">
        <w:rPr>
          <w:rStyle w:val="jrnl"/>
          <w:rFonts w:ascii="Calibri" w:hAnsi="Calibri" w:cs="Arial"/>
          <w:lang w:val="en-GB"/>
        </w:rPr>
        <w:t>.</w:t>
      </w:r>
      <w:r w:rsidRPr="00546EFD">
        <w:rPr>
          <w:rFonts w:ascii="Calibri" w:hAnsi="Calibri" w:cs="Arial"/>
          <w:lang w:val="en-GB"/>
        </w:rPr>
        <w:t xml:space="preserve"> 2015;20(8):856-63.</w:t>
      </w:r>
    </w:p>
    <w:p w:rsidR="00F972E9" w:rsidRPr="00546EFD" w:rsidRDefault="00F972E9" w:rsidP="00F972E9">
      <w:pPr>
        <w:pStyle w:val="Lijstalinea"/>
        <w:numPr>
          <w:ilvl w:val="0"/>
          <w:numId w:val="2"/>
        </w:numPr>
        <w:spacing w:line="240" w:lineRule="auto"/>
        <w:rPr>
          <w:rFonts w:ascii="Calibri" w:hAnsi="Calibri" w:cs="Arial"/>
          <w:lang w:val="en-GB"/>
        </w:rPr>
      </w:pPr>
      <w:r w:rsidRPr="007B2D9E">
        <w:rPr>
          <w:rFonts w:ascii="Calibri" w:hAnsi="Calibri" w:cs="Arial"/>
        </w:rPr>
        <w:t xml:space="preserve">Lobbezoo DJ, van Kampen RJ, Voogd AC, Dercksen MW, van den Berkmortel F, Smilde TJ, van de Wouw AJ, Peters FP, van Riel JM, Peters NA, de </w:t>
      </w:r>
      <w:r w:rsidRPr="007B2D9E">
        <w:rPr>
          <w:rFonts w:ascii="Calibri" w:hAnsi="Calibri" w:cs="Arial"/>
          <w:bCs/>
        </w:rPr>
        <w:t>Boer</w:t>
      </w:r>
      <w:r w:rsidRPr="007B2D9E">
        <w:rPr>
          <w:rFonts w:ascii="Calibri" w:hAnsi="Calibri" w:cs="Arial"/>
        </w:rPr>
        <w:t xml:space="preserve"> M, Peer PG, Tjan-Heijnen VC. </w:t>
      </w:r>
      <w:r w:rsidRPr="00546EFD">
        <w:rPr>
          <w:rFonts w:ascii="Calibri" w:hAnsi="Calibri" w:cs="Arial"/>
          <w:lang w:val="en-GB"/>
        </w:rPr>
        <w:t xml:space="preserve">Prognosis of metastatic breast cancer: are there differences between patients with de novo and recurrent metastatic breast cancer? </w:t>
      </w:r>
      <w:r w:rsidRPr="00546EFD">
        <w:rPr>
          <w:rStyle w:val="jrnl"/>
          <w:rFonts w:ascii="Calibri" w:hAnsi="Calibri" w:cs="Arial"/>
          <w:lang w:val="en-GB"/>
        </w:rPr>
        <w:t>Br J Cancer</w:t>
      </w:r>
      <w:r w:rsidR="00E73365">
        <w:rPr>
          <w:rStyle w:val="jrnl"/>
          <w:rFonts w:ascii="Calibri" w:hAnsi="Calibri" w:cs="Arial"/>
          <w:lang w:val="en-GB"/>
        </w:rPr>
        <w:t>.</w:t>
      </w:r>
      <w:r w:rsidRPr="00546EFD">
        <w:rPr>
          <w:rFonts w:ascii="Calibri" w:hAnsi="Calibri" w:cs="Arial"/>
          <w:lang w:val="en-GB"/>
        </w:rPr>
        <w:t xml:space="preserve"> 2015;112(9):1445-51.</w:t>
      </w:r>
    </w:p>
    <w:p w:rsidR="00F972E9" w:rsidRDefault="00F972E9" w:rsidP="00F972E9">
      <w:pPr>
        <w:pStyle w:val="Lijstalinea"/>
        <w:numPr>
          <w:ilvl w:val="0"/>
          <w:numId w:val="2"/>
        </w:numPr>
        <w:spacing w:line="240" w:lineRule="auto"/>
        <w:rPr>
          <w:rFonts w:ascii="Calibri" w:hAnsi="Calibri" w:cs="Arial"/>
          <w:lang w:val="en-GB"/>
        </w:rPr>
      </w:pPr>
      <w:r w:rsidRPr="007B2D9E">
        <w:rPr>
          <w:rFonts w:ascii="Calibri" w:hAnsi="Calibri" w:cs="Arial"/>
        </w:rPr>
        <w:t xml:space="preserve">Lobbezoo DJ, van Kampen RJ, Voogd AC, Dercksen MW, van den Berkmortel F, Smilde TJ, van de Wouw AJ, Peters FP, van Riel JM, Peters NA, de </w:t>
      </w:r>
      <w:r w:rsidRPr="007B2D9E">
        <w:rPr>
          <w:rFonts w:ascii="Calibri" w:hAnsi="Calibri" w:cs="Arial"/>
          <w:bCs/>
        </w:rPr>
        <w:t>Boer</w:t>
      </w:r>
      <w:r w:rsidRPr="007B2D9E">
        <w:rPr>
          <w:rFonts w:ascii="Calibri" w:hAnsi="Calibri" w:cs="Arial"/>
        </w:rPr>
        <w:t xml:space="preserve"> M, Borm GF, Tjan-Heijnen VC. </w:t>
      </w:r>
      <w:r w:rsidRPr="00546EFD">
        <w:rPr>
          <w:rFonts w:ascii="Calibri" w:hAnsi="Calibri" w:cs="Arial"/>
          <w:lang w:val="en-GB"/>
        </w:rPr>
        <w:t xml:space="preserve">Prognosis of metastatic breast cancer subtypes: the hormone receptor/HER2-positive subtype is associated with the most favorable outcome. </w:t>
      </w:r>
      <w:r w:rsidRPr="00546EFD">
        <w:rPr>
          <w:rStyle w:val="jrnl"/>
          <w:rFonts w:ascii="Calibri" w:hAnsi="Calibri" w:cs="Arial"/>
          <w:lang w:val="en-GB"/>
        </w:rPr>
        <w:t>Breast Cancer Res Treat</w:t>
      </w:r>
      <w:r w:rsidR="00E73365">
        <w:rPr>
          <w:rStyle w:val="jrnl"/>
          <w:rFonts w:ascii="Calibri" w:hAnsi="Calibri" w:cs="Arial"/>
          <w:lang w:val="en-GB"/>
        </w:rPr>
        <w:t>.</w:t>
      </w:r>
      <w:r w:rsidRPr="00546EFD">
        <w:rPr>
          <w:rFonts w:ascii="Calibri" w:hAnsi="Calibri" w:cs="Arial"/>
          <w:lang w:val="en-GB"/>
        </w:rPr>
        <w:t xml:space="preserve"> 2013;141(3):507-14.</w:t>
      </w:r>
    </w:p>
    <w:p w:rsidR="00F972E9" w:rsidRPr="00560971" w:rsidRDefault="00F972E9" w:rsidP="00F972E9">
      <w:pPr>
        <w:pStyle w:val="Lijstalinea"/>
        <w:numPr>
          <w:ilvl w:val="0"/>
          <w:numId w:val="2"/>
        </w:numPr>
        <w:spacing w:line="240" w:lineRule="auto"/>
        <w:rPr>
          <w:rFonts w:ascii="Calibri" w:hAnsi="Calibri" w:cs="Arial"/>
        </w:rPr>
      </w:pPr>
      <w:r w:rsidRPr="00560971">
        <w:rPr>
          <w:rFonts w:ascii="Calibri" w:hAnsi="Calibri" w:cs="Arial"/>
        </w:rPr>
        <w:t xml:space="preserve">Vriens BE, Lobbezoo DJ, de Hoon JP, Veeck J, Voogd AC, Tjan-Heijnen VC. </w:t>
      </w:r>
      <w:r w:rsidRPr="003B4446">
        <w:rPr>
          <w:rFonts w:ascii="Calibri" w:hAnsi="Calibri" w:cs="Arial"/>
          <w:lang w:val="en-US"/>
        </w:rPr>
        <w:t xml:space="preserve">If there is no overall survival benefit in metastatic breast cancer: does it imply lack of efficacy? </w:t>
      </w:r>
      <w:r w:rsidRPr="00560971">
        <w:rPr>
          <w:rFonts w:ascii="Calibri" w:hAnsi="Calibri" w:cs="Arial"/>
        </w:rPr>
        <w:t xml:space="preserve">Taxanes as an example. Cancer Treat Rev. 2013;39(2):189-98.  </w:t>
      </w:r>
    </w:p>
    <w:p w:rsidR="00F972E9" w:rsidRPr="00560971" w:rsidRDefault="00F972E9" w:rsidP="00F972E9">
      <w:pPr>
        <w:pStyle w:val="Lijstalinea"/>
        <w:numPr>
          <w:ilvl w:val="0"/>
          <w:numId w:val="2"/>
        </w:numPr>
        <w:spacing w:line="240" w:lineRule="auto"/>
        <w:rPr>
          <w:rFonts w:ascii="Calibri" w:hAnsi="Calibri" w:cs="Arial"/>
        </w:rPr>
      </w:pPr>
      <w:r w:rsidRPr="00560971">
        <w:rPr>
          <w:rFonts w:ascii="Calibri" w:hAnsi="Calibri" w:cs="Arial"/>
        </w:rPr>
        <w:t xml:space="preserve">Grutters JP, Seferina SC, Tjan-Heijnen VC, van Kampen RJ, Goettsch WG, Joore MA. </w:t>
      </w:r>
      <w:r w:rsidRPr="003B4446">
        <w:rPr>
          <w:rFonts w:ascii="Calibri" w:hAnsi="Calibri" w:cs="Arial"/>
          <w:lang w:val="en-US"/>
        </w:rPr>
        <w:t xml:space="preserve">Bridging trial and decision: a checklist to frame health technology assessments for resource allocation decisions. </w:t>
      </w:r>
      <w:r w:rsidRPr="00560971">
        <w:rPr>
          <w:rFonts w:ascii="Calibri" w:hAnsi="Calibri" w:cs="Arial"/>
        </w:rPr>
        <w:t xml:space="preserve">Value Health. 2011;14(5):777-84. </w:t>
      </w:r>
    </w:p>
    <w:bookmarkEnd w:id="0"/>
    <w:p w:rsidR="002D3B4C" w:rsidRDefault="002D3B4C"/>
    <w:sectPr w:rsidR="002D3B4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054422"/>
    <w:multiLevelType w:val="multilevel"/>
    <w:tmpl w:val="5270F666"/>
    <w:lvl w:ilvl="0">
      <w:start w:val="1"/>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1D464DF3"/>
    <w:multiLevelType w:val="multilevel"/>
    <w:tmpl w:val="F6D4A4EE"/>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doNotDisplayPageBoundaries/>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72E9"/>
    <w:rsid w:val="001F133E"/>
    <w:rsid w:val="002D3B4C"/>
    <w:rsid w:val="003731D0"/>
    <w:rsid w:val="00523CF1"/>
    <w:rsid w:val="00680D4D"/>
    <w:rsid w:val="007E5C31"/>
    <w:rsid w:val="007F2420"/>
    <w:rsid w:val="00A2248A"/>
    <w:rsid w:val="00D37206"/>
    <w:rsid w:val="00E73365"/>
    <w:rsid w:val="00F972E9"/>
    <w:rsid w:val="00FE664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0E2D8B4-AB99-48C4-B473-BA3B99128E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paragraph" w:styleId="Kop1">
    <w:name w:val="heading 1"/>
    <w:basedOn w:val="Standaard"/>
    <w:next w:val="Standaard"/>
    <w:link w:val="Kop1Char"/>
    <w:uiPriority w:val="9"/>
    <w:qFormat/>
    <w:rsid w:val="00F972E9"/>
    <w:pPr>
      <w:keepNext/>
      <w:keepLines/>
      <w:spacing w:before="480" w:after="0" w:line="276" w:lineRule="auto"/>
      <w:outlineLvl w:val="0"/>
    </w:pPr>
    <w:rPr>
      <w:rFonts w:asciiTheme="majorHAnsi" w:eastAsiaTheme="majorEastAsia" w:hAnsiTheme="majorHAnsi" w:cstheme="majorBidi"/>
      <w:b/>
      <w:bCs/>
      <w:color w:val="2E74B5" w:themeColor="accent1" w:themeShade="BF"/>
      <w:sz w:val="28"/>
      <w:szCs w:val="28"/>
    </w:rPr>
  </w:style>
  <w:style w:type="paragraph" w:styleId="Kop2">
    <w:name w:val="heading 2"/>
    <w:basedOn w:val="Standaard"/>
    <w:next w:val="Standaard"/>
    <w:link w:val="Kop2Char"/>
    <w:uiPriority w:val="9"/>
    <w:unhideWhenUsed/>
    <w:qFormat/>
    <w:rsid w:val="00F972E9"/>
    <w:pPr>
      <w:keepNext/>
      <w:keepLines/>
      <w:spacing w:before="200" w:after="0" w:line="276" w:lineRule="auto"/>
      <w:outlineLvl w:val="1"/>
    </w:pPr>
    <w:rPr>
      <w:rFonts w:asciiTheme="majorHAnsi" w:eastAsiaTheme="majorEastAsia" w:hAnsiTheme="majorHAnsi" w:cstheme="majorBidi"/>
      <w:b/>
      <w:bCs/>
      <w:color w:val="5B9BD5" w:themeColor="accent1"/>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972E9"/>
    <w:rPr>
      <w:rFonts w:asciiTheme="majorHAnsi" w:eastAsiaTheme="majorEastAsia" w:hAnsiTheme="majorHAnsi" w:cstheme="majorBidi"/>
      <w:b/>
      <w:bCs/>
      <w:color w:val="2E74B5" w:themeColor="accent1" w:themeShade="BF"/>
      <w:sz w:val="28"/>
      <w:szCs w:val="28"/>
    </w:rPr>
  </w:style>
  <w:style w:type="character" w:customStyle="1" w:styleId="Kop2Char">
    <w:name w:val="Kop 2 Char"/>
    <w:basedOn w:val="Standaardalinea-lettertype"/>
    <w:link w:val="Kop2"/>
    <w:uiPriority w:val="9"/>
    <w:rsid w:val="00F972E9"/>
    <w:rPr>
      <w:rFonts w:asciiTheme="majorHAnsi" w:eastAsiaTheme="majorEastAsia" w:hAnsiTheme="majorHAnsi" w:cstheme="majorBidi"/>
      <w:b/>
      <w:bCs/>
      <w:color w:val="5B9BD5" w:themeColor="accent1"/>
      <w:sz w:val="26"/>
      <w:szCs w:val="26"/>
    </w:rPr>
  </w:style>
  <w:style w:type="paragraph" w:styleId="Lijstalinea">
    <w:name w:val="List Paragraph"/>
    <w:basedOn w:val="Standaard"/>
    <w:link w:val="LijstalineaChar"/>
    <w:uiPriority w:val="99"/>
    <w:qFormat/>
    <w:rsid w:val="00F972E9"/>
    <w:pPr>
      <w:spacing w:after="200" w:line="276" w:lineRule="auto"/>
      <w:ind w:left="720"/>
      <w:contextualSpacing/>
    </w:pPr>
  </w:style>
  <w:style w:type="character" w:customStyle="1" w:styleId="LijstalineaChar">
    <w:name w:val="Lijstalinea Char"/>
    <w:basedOn w:val="Standaardalinea-lettertype"/>
    <w:link w:val="Lijstalinea"/>
    <w:uiPriority w:val="99"/>
    <w:rsid w:val="00F972E9"/>
  </w:style>
  <w:style w:type="character" w:customStyle="1" w:styleId="jrnl">
    <w:name w:val="jrnl"/>
    <w:basedOn w:val="Standaardalinea-lettertype"/>
    <w:rsid w:val="00F972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pubmed.ncbi.nlm.nih.gov/32544366/" TargetMode="External"/><Relationship Id="rId5" Type="http://schemas.openxmlformats.org/officeDocument/2006/relationships/hyperlink" Target="https://pubmed.ncbi.nlm.nih.gov/32599374/" TargetMode="Externa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1656</Words>
  <Characters>9110</Characters>
  <Application>Microsoft Office Word</Application>
  <DocSecurity>4</DocSecurity>
  <Lines>75</Lines>
  <Paragraphs>21</Paragraphs>
  <ScaleCrop>false</ScaleCrop>
  <HeadingPairs>
    <vt:vector size="2" baseType="variant">
      <vt:variant>
        <vt:lpstr>Titel</vt:lpstr>
      </vt:variant>
      <vt:variant>
        <vt:i4>1</vt:i4>
      </vt:variant>
    </vt:vector>
  </HeadingPairs>
  <TitlesOfParts>
    <vt:vector size="1" baseType="lpstr">
      <vt:lpstr/>
    </vt:vector>
  </TitlesOfParts>
  <Company>MUMC</Company>
  <LinksUpToDate>false</LinksUpToDate>
  <CharactersWithSpaces>10745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Geurts, S.M.E. (Sandra)</dc:creator>
  <cp:keywords/>
  <dc:description/>
  <cp:lastModifiedBy>Suntjens, N. (Nadine)</cp:lastModifiedBy>
  <cp:revision>2</cp:revision>
  <dcterms:created xsi:type="dcterms:W3CDTF">2026-10-30T10:03:00Z</dcterms:created>
  <dcterms:modified xsi:type="dcterms:W3CDTF">2026-10-30T10:03:00Z</dcterms:modified>
</cp:coreProperties>
</file>